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2548" w14:textId="626DA358" w:rsidR="00A52B98" w:rsidRDefault="00A52B98" w:rsidP="00A52B98">
      <w:pPr>
        <w:shd w:val="clear" w:color="auto" w:fill="FFFFFF"/>
        <w:spacing w:after="0" w:line="240" w:lineRule="auto"/>
        <w:textAlignment w:val="baseline"/>
        <w:outlineLvl w:val="2"/>
        <w:rPr>
          <w:rFonts w:ascii="Arial" w:eastAsia="Times New Roman" w:hAnsi="Arial" w:cs="Arial"/>
          <w:b/>
          <w:bCs/>
          <w:color w:val="000000"/>
          <w:sz w:val="30"/>
          <w:szCs w:val="30"/>
          <w:bdr w:val="none" w:sz="0" w:space="0" w:color="auto" w:frame="1"/>
          <w:lang w:eastAsia="en-AU"/>
        </w:rPr>
      </w:pPr>
      <w:r w:rsidRPr="00A52B98">
        <w:rPr>
          <w:rFonts w:ascii="Arial" w:eastAsia="Times New Roman" w:hAnsi="Arial" w:cs="Arial"/>
          <w:b/>
          <w:bCs/>
          <w:color w:val="000000"/>
          <w:sz w:val="30"/>
          <w:szCs w:val="30"/>
          <w:bdr w:val="none" w:sz="0" w:space="0" w:color="auto" w:frame="1"/>
          <w:lang w:eastAsia="en-AU"/>
        </w:rPr>
        <w:t>Work Program – EL007</w:t>
      </w:r>
      <w:r>
        <w:rPr>
          <w:rFonts w:ascii="Arial" w:eastAsia="Times New Roman" w:hAnsi="Arial" w:cs="Arial"/>
          <w:b/>
          <w:bCs/>
          <w:color w:val="000000"/>
          <w:sz w:val="30"/>
          <w:szCs w:val="30"/>
          <w:bdr w:val="none" w:sz="0" w:space="0" w:color="auto" w:frame="1"/>
          <w:lang w:eastAsia="en-AU"/>
        </w:rPr>
        <w:t>330</w:t>
      </w:r>
    </w:p>
    <w:p w14:paraId="7F463968" w14:textId="77777777" w:rsidR="00A52B98" w:rsidRPr="00A52B98" w:rsidRDefault="00A52B98" w:rsidP="00A52B98">
      <w:pPr>
        <w:shd w:val="clear" w:color="auto" w:fill="FFFFFF"/>
        <w:spacing w:after="0" w:line="240" w:lineRule="auto"/>
        <w:textAlignment w:val="baseline"/>
        <w:outlineLvl w:val="2"/>
        <w:rPr>
          <w:rFonts w:ascii="Arial" w:eastAsia="Times New Roman" w:hAnsi="Arial" w:cs="Arial"/>
          <w:b/>
          <w:bCs/>
          <w:color w:val="000000"/>
          <w:sz w:val="30"/>
          <w:szCs w:val="30"/>
          <w:lang w:eastAsia="en-AU"/>
        </w:rPr>
      </w:pPr>
    </w:p>
    <w:p w14:paraId="761F2062" w14:textId="77777777" w:rsidR="00A52B98" w:rsidRPr="00A52B98" w:rsidRDefault="00A52B98" w:rsidP="00A52B98">
      <w:pPr>
        <w:shd w:val="clear" w:color="auto" w:fill="FFFFFF"/>
        <w:spacing w:after="0" w:line="240" w:lineRule="auto"/>
        <w:textAlignment w:val="baseline"/>
        <w:outlineLvl w:val="3"/>
        <w:rPr>
          <w:rFonts w:ascii="Arial" w:eastAsia="Times New Roman" w:hAnsi="Arial" w:cs="Arial"/>
          <w:b/>
          <w:bCs/>
          <w:color w:val="000000"/>
          <w:sz w:val="24"/>
          <w:szCs w:val="24"/>
          <w:lang w:eastAsia="en-AU"/>
        </w:rPr>
      </w:pPr>
      <w:r w:rsidRPr="00A52B98">
        <w:rPr>
          <w:rFonts w:ascii="Arial" w:eastAsia="Times New Roman" w:hAnsi="Arial" w:cs="Arial"/>
          <w:b/>
          <w:bCs/>
          <w:color w:val="000000"/>
          <w:sz w:val="24"/>
          <w:szCs w:val="24"/>
          <w:bdr w:val="none" w:sz="0" w:space="0" w:color="auto" w:frame="1"/>
          <w:lang w:eastAsia="en-AU"/>
        </w:rPr>
        <w:t>Nature of On Ground Exploration/Timing and Forecast Expenditure</w:t>
      </w:r>
    </w:p>
    <w:p w14:paraId="232A38A7"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A program of proposed staged exploration activities is set out below. Exploration may be accelerated or moderated dependent upon success, staff availability, permitting and funding.</w:t>
      </w:r>
    </w:p>
    <w:p w14:paraId="25CC2B9F" w14:textId="77777777" w:rsidR="00A52B98" w:rsidRPr="00A52B98" w:rsidRDefault="00A52B98" w:rsidP="00A52B98">
      <w:pPr>
        <w:shd w:val="clear" w:color="auto" w:fill="FFFFFF"/>
        <w:spacing w:after="0" w:line="240" w:lineRule="auto"/>
        <w:textAlignment w:val="baseline"/>
        <w:outlineLvl w:val="3"/>
        <w:rPr>
          <w:rFonts w:ascii="Arial" w:eastAsia="Times New Roman" w:hAnsi="Arial" w:cs="Arial"/>
          <w:b/>
          <w:bCs/>
          <w:color w:val="000000"/>
          <w:sz w:val="24"/>
          <w:szCs w:val="24"/>
          <w:lang w:eastAsia="en-AU"/>
        </w:rPr>
      </w:pPr>
      <w:r w:rsidRPr="00A52B98">
        <w:rPr>
          <w:rFonts w:ascii="Arial" w:eastAsia="Times New Roman" w:hAnsi="Arial" w:cs="Arial"/>
          <w:b/>
          <w:bCs/>
          <w:color w:val="000000"/>
          <w:sz w:val="24"/>
          <w:szCs w:val="24"/>
          <w:bdr w:val="none" w:sz="0" w:space="0" w:color="auto" w:frame="1"/>
          <w:lang w:eastAsia="en-AU"/>
        </w:rPr>
        <w:t>Year 1 – Historical Research / Data compilation / Field Reconnaissance / Identify Stakeholders.</w:t>
      </w:r>
    </w:p>
    <w:p w14:paraId="24B23B25"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Historical research on past exploration over this tenement will be undertaken along with data compilation to utilise all historical findings to forward plan the exploration program. Acquisition and analysis of satellite and geophysical datasets. Reconnaissance trips to site to undertake geological mapping and become familiar with the geology, ground conditions and local stakeholders.</w:t>
      </w:r>
    </w:p>
    <w:p w14:paraId="6493BFC0" w14:textId="77777777" w:rsidR="00A52B98" w:rsidRPr="00A52B98" w:rsidRDefault="00A52B98" w:rsidP="00A52B98">
      <w:pPr>
        <w:shd w:val="clear" w:color="auto" w:fill="FFFFFF"/>
        <w:spacing w:after="0" w:line="240" w:lineRule="auto"/>
        <w:textAlignment w:val="baseline"/>
        <w:outlineLvl w:val="3"/>
        <w:rPr>
          <w:rFonts w:ascii="Arial" w:eastAsia="Times New Roman" w:hAnsi="Arial" w:cs="Arial"/>
          <w:b/>
          <w:bCs/>
          <w:color w:val="000000"/>
          <w:sz w:val="24"/>
          <w:szCs w:val="24"/>
          <w:lang w:eastAsia="en-AU"/>
        </w:rPr>
      </w:pPr>
      <w:r w:rsidRPr="00A52B98">
        <w:rPr>
          <w:rFonts w:ascii="Arial" w:eastAsia="Times New Roman" w:hAnsi="Arial" w:cs="Arial"/>
          <w:b/>
          <w:bCs/>
          <w:color w:val="000000"/>
          <w:sz w:val="24"/>
          <w:szCs w:val="24"/>
          <w:bdr w:val="none" w:sz="0" w:space="0" w:color="auto" w:frame="1"/>
          <w:lang w:eastAsia="en-AU"/>
        </w:rPr>
        <w:t>Year 2 – Geological mapping / Soil sampling.</w:t>
      </w:r>
    </w:p>
    <w:p w14:paraId="13300344"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Planning for soil sampling grids over select targets will take place along with further detailed geological mapping and collection of local information to aid in all future exploration programs. Ground geophysics surveys such as Induced Polarisation (IP) and ground magnetics may be undertaken over high priority targets. Auger drilling may be undertaken if shallow geochemical targets are identified.</w:t>
      </w:r>
    </w:p>
    <w:p w14:paraId="33FA0B5D" w14:textId="77777777" w:rsidR="00A52B98" w:rsidRPr="00A52B98" w:rsidRDefault="00A52B98" w:rsidP="00A52B98">
      <w:pPr>
        <w:shd w:val="clear" w:color="auto" w:fill="FFFFFF"/>
        <w:spacing w:after="0" w:line="240" w:lineRule="auto"/>
        <w:textAlignment w:val="baseline"/>
        <w:outlineLvl w:val="3"/>
        <w:rPr>
          <w:rFonts w:ascii="Arial" w:eastAsia="Times New Roman" w:hAnsi="Arial" w:cs="Arial"/>
          <w:b/>
          <w:bCs/>
          <w:color w:val="000000"/>
          <w:sz w:val="24"/>
          <w:szCs w:val="24"/>
          <w:lang w:eastAsia="en-AU"/>
        </w:rPr>
      </w:pPr>
      <w:r w:rsidRPr="00A52B98">
        <w:rPr>
          <w:rFonts w:ascii="Arial" w:eastAsia="Times New Roman" w:hAnsi="Arial" w:cs="Arial"/>
          <w:b/>
          <w:bCs/>
          <w:color w:val="000000"/>
          <w:sz w:val="24"/>
          <w:szCs w:val="24"/>
          <w:bdr w:val="none" w:sz="0" w:space="0" w:color="auto" w:frame="1"/>
          <w:lang w:eastAsia="en-AU"/>
        </w:rPr>
        <w:t>Year 3 – Ground Based Activity including Geophysics.</w:t>
      </w:r>
    </w:p>
    <w:p w14:paraId="1A92C973"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Assess and continue work from previous years as necessary. Potential 3D modelling of identified lode targets. Determine appropriateness of selected geophysical methods to assist with target definition. Some Auger drilling is likely.</w:t>
      </w:r>
    </w:p>
    <w:p w14:paraId="0C471261" w14:textId="77777777" w:rsidR="00A52B98" w:rsidRPr="00A52B98" w:rsidRDefault="00A52B98" w:rsidP="00A52B98">
      <w:pPr>
        <w:shd w:val="clear" w:color="auto" w:fill="FFFFFF"/>
        <w:spacing w:after="0" w:line="240" w:lineRule="auto"/>
        <w:textAlignment w:val="baseline"/>
        <w:outlineLvl w:val="3"/>
        <w:rPr>
          <w:rFonts w:ascii="Arial" w:eastAsia="Times New Roman" w:hAnsi="Arial" w:cs="Arial"/>
          <w:b/>
          <w:bCs/>
          <w:color w:val="000000"/>
          <w:sz w:val="24"/>
          <w:szCs w:val="24"/>
          <w:lang w:eastAsia="en-AU"/>
        </w:rPr>
      </w:pPr>
      <w:r w:rsidRPr="00A52B98">
        <w:rPr>
          <w:rFonts w:ascii="Arial" w:eastAsia="Times New Roman" w:hAnsi="Arial" w:cs="Arial"/>
          <w:b/>
          <w:bCs/>
          <w:color w:val="000000"/>
          <w:sz w:val="24"/>
          <w:szCs w:val="24"/>
          <w:bdr w:val="none" w:sz="0" w:space="0" w:color="auto" w:frame="1"/>
          <w:lang w:eastAsia="en-AU"/>
        </w:rPr>
        <w:t>Years 4 and 5 – a Phased, Results Driven Program of Drilling and Analysis</w:t>
      </w:r>
      <w:r w:rsidRPr="00A52B98">
        <w:rPr>
          <w:rFonts w:ascii="Arial" w:eastAsia="Times New Roman" w:hAnsi="Arial" w:cs="Arial"/>
          <w:b/>
          <w:bCs/>
          <w:color w:val="000000"/>
          <w:sz w:val="24"/>
          <w:szCs w:val="24"/>
          <w:lang w:eastAsia="en-AU"/>
        </w:rPr>
        <w:t> is projected.</w:t>
      </w:r>
    </w:p>
    <w:p w14:paraId="1D98BF4C"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At an appropriate point, additional high resolution airborne and ground geophysics might be undertaken.</w:t>
      </w:r>
    </w:p>
    <w:p w14:paraId="07EF98F6"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Should future higher impact exploration activities be planned such as exploration drilling, it will involve a submission of a low impact exploration plan or work plan to Earth Resources Regulation, detailed rehabilitation plans, and monitoring and auditing.</w:t>
      </w:r>
    </w:p>
    <w:p w14:paraId="750D9E9B" w14:textId="77777777" w:rsidR="00A52B98" w:rsidRPr="00A52B98" w:rsidRDefault="00A52B98" w:rsidP="00A52B98">
      <w:pPr>
        <w:shd w:val="clear" w:color="auto" w:fill="FFFFFF"/>
        <w:spacing w:after="0" w:line="240" w:lineRule="auto"/>
        <w:textAlignment w:val="baseline"/>
        <w:outlineLvl w:val="3"/>
        <w:rPr>
          <w:rFonts w:ascii="Arial" w:eastAsia="Times New Roman" w:hAnsi="Arial" w:cs="Arial"/>
          <w:b/>
          <w:bCs/>
          <w:color w:val="000000"/>
          <w:sz w:val="24"/>
          <w:szCs w:val="24"/>
          <w:lang w:eastAsia="en-AU"/>
        </w:rPr>
      </w:pPr>
      <w:r w:rsidRPr="00A52B98">
        <w:rPr>
          <w:rFonts w:ascii="Arial" w:eastAsia="Times New Roman" w:hAnsi="Arial" w:cs="Arial"/>
          <w:b/>
          <w:bCs/>
          <w:color w:val="000000"/>
          <w:sz w:val="24"/>
          <w:szCs w:val="24"/>
          <w:bdr w:val="none" w:sz="0" w:space="0" w:color="auto" w:frame="1"/>
          <w:lang w:eastAsia="en-AU"/>
        </w:rPr>
        <w:t>Years 4 and 5 – a Phased, Results Driven Program of Follow-up Drilling and Analysis</w:t>
      </w:r>
      <w:r w:rsidRPr="00A52B98">
        <w:rPr>
          <w:rFonts w:ascii="Arial" w:eastAsia="Times New Roman" w:hAnsi="Arial" w:cs="Arial"/>
          <w:b/>
          <w:bCs/>
          <w:color w:val="000000"/>
          <w:sz w:val="24"/>
          <w:szCs w:val="24"/>
          <w:lang w:eastAsia="en-AU"/>
        </w:rPr>
        <w:t> is projected.</w:t>
      </w:r>
    </w:p>
    <w:p w14:paraId="268A93C6"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At an appropriate point, additional high resolution airborne and ground geophysics might be undertaken.</w:t>
      </w:r>
    </w:p>
    <w:p w14:paraId="2D53E953" w14:textId="77777777" w:rsidR="00A52B98" w:rsidRPr="00A52B98" w:rsidRDefault="00A52B98" w:rsidP="00A52B98">
      <w:pPr>
        <w:shd w:val="clear" w:color="auto" w:fill="FFFFFF"/>
        <w:spacing w:after="0" w:line="240" w:lineRule="auto"/>
        <w:textAlignment w:val="baseline"/>
        <w:outlineLvl w:val="3"/>
        <w:rPr>
          <w:rFonts w:ascii="Arial" w:eastAsia="Times New Roman" w:hAnsi="Arial" w:cs="Arial"/>
          <w:b/>
          <w:bCs/>
          <w:color w:val="000000"/>
          <w:sz w:val="24"/>
          <w:szCs w:val="24"/>
          <w:lang w:eastAsia="en-AU"/>
        </w:rPr>
      </w:pPr>
      <w:r w:rsidRPr="00A52B98">
        <w:rPr>
          <w:rFonts w:ascii="Arial" w:eastAsia="Times New Roman" w:hAnsi="Arial" w:cs="Arial"/>
          <w:b/>
          <w:bCs/>
          <w:color w:val="000000"/>
          <w:sz w:val="24"/>
          <w:szCs w:val="24"/>
          <w:bdr w:val="none" w:sz="0" w:space="0" w:color="auto" w:frame="1"/>
          <w:lang w:eastAsia="en-AU"/>
        </w:rPr>
        <w:t>Environment Strategy</w:t>
      </w:r>
    </w:p>
    <w:p w14:paraId="072AD931"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All exploration activities will be conducted strictly in accordance with law, regulation, and best practice. All rehabilitation will be carried out as soon as is practicable after exploration activities have taken place and in line with the current Guidelines for environmental management in exploration and mining. Before any field activities are carried out, appropriate environmental management specialists will be engaged to ensure all staff and contractors are aware of all site-specific environmental sensitivities, such as weeds and endangered flora and fauna and will act accordingly.</w:t>
      </w:r>
    </w:p>
    <w:p w14:paraId="11DADD95"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The licensee is committed to minimising or where possible avoiding environmental impact and will work in accordance with the Guidelines as determined by the Victorian Government and will facilitate effective rehabilitation of all disturbed areas. No wetlands, waterways or lakes will be impacted by exploration activities.</w:t>
      </w:r>
    </w:p>
    <w:p w14:paraId="14735A20" w14:textId="77777777" w:rsidR="00A52B98" w:rsidRPr="00A52B98" w:rsidRDefault="00A52B98" w:rsidP="00A52B98">
      <w:pPr>
        <w:shd w:val="clear" w:color="auto" w:fill="FFFFFF"/>
        <w:spacing w:after="0" w:line="240" w:lineRule="auto"/>
        <w:textAlignment w:val="baseline"/>
        <w:outlineLvl w:val="3"/>
        <w:rPr>
          <w:rFonts w:ascii="Arial" w:eastAsia="Times New Roman" w:hAnsi="Arial" w:cs="Arial"/>
          <w:b/>
          <w:bCs/>
          <w:color w:val="000000"/>
          <w:sz w:val="24"/>
          <w:szCs w:val="24"/>
          <w:lang w:eastAsia="en-AU"/>
        </w:rPr>
      </w:pPr>
      <w:r w:rsidRPr="00A52B98">
        <w:rPr>
          <w:rFonts w:ascii="Arial" w:eastAsia="Times New Roman" w:hAnsi="Arial" w:cs="Arial"/>
          <w:b/>
          <w:bCs/>
          <w:color w:val="000000"/>
          <w:sz w:val="24"/>
          <w:szCs w:val="24"/>
          <w:bdr w:val="none" w:sz="0" w:space="0" w:color="auto" w:frame="1"/>
          <w:lang w:eastAsia="en-AU"/>
        </w:rPr>
        <w:t>The Community Engagement Plan</w:t>
      </w:r>
    </w:p>
    <w:p w14:paraId="28552B8F"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The licensee attaches the highest importance to good community relations and being a good neighbour to the businesses and residents of its areas of operation. Its parent companies have operated in jurisdictions around the world including areas of significant population and community sensitivity and follow best practice wherever they operate.</w:t>
      </w:r>
    </w:p>
    <w:p w14:paraId="6674CDAF" w14:textId="77777777" w:rsidR="00A52B98" w:rsidRPr="00A52B98" w:rsidRDefault="00A52B98" w:rsidP="00A52B98">
      <w:pPr>
        <w:shd w:val="clear" w:color="auto" w:fill="FFFFFF"/>
        <w:spacing w:after="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b/>
          <w:bCs/>
          <w:color w:val="000000"/>
          <w:sz w:val="18"/>
          <w:szCs w:val="18"/>
          <w:bdr w:val="none" w:sz="0" w:space="0" w:color="auto" w:frame="1"/>
          <w:lang w:eastAsia="en-AU"/>
        </w:rPr>
        <w:t>In general terms, the licensee’s community engagement plan is based on the following:</w:t>
      </w:r>
    </w:p>
    <w:p w14:paraId="2A03B061" w14:textId="77777777" w:rsidR="00A52B98" w:rsidRPr="00A52B98" w:rsidRDefault="00A52B98" w:rsidP="00A52B98">
      <w:pPr>
        <w:numPr>
          <w:ilvl w:val="0"/>
          <w:numId w:val="1"/>
        </w:numPr>
        <w:shd w:val="clear" w:color="auto" w:fill="FFFFFF"/>
        <w:spacing w:after="0" w:line="240" w:lineRule="auto"/>
        <w:ind w:left="1020"/>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lastRenderedPageBreak/>
        <w:t>Identify individuals or groups which may be impacted by the operations on the licence. This would involve the compilation of a list of landowners, persons living on or in the vicinity of the licence and other community groups which may be impacted by the operations.</w:t>
      </w:r>
    </w:p>
    <w:p w14:paraId="6A92521A" w14:textId="77777777" w:rsidR="00A52B98" w:rsidRPr="00A52B98" w:rsidRDefault="00A52B98" w:rsidP="00A52B98">
      <w:pPr>
        <w:numPr>
          <w:ilvl w:val="0"/>
          <w:numId w:val="1"/>
        </w:numPr>
        <w:shd w:val="clear" w:color="auto" w:fill="FFFFFF"/>
        <w:spacing w:after="0" w:line="240" w:lineRule="auto"/>
        <w:ind w:left="1020"/>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The licensee has established a Technical Advisory Board with geologists and other specialists’ resident in the license areas to advise at each stage on which groups or individuals should be consulted or approached and provide feedback.</w:t>
      </w:r>
    </w:p>
    <w:p w14:paraId="0A64999F" w14:textId="77777777" w:rsidR="00A52B98" w:rsidRPr="00A52B98" w:rsidRDefault="00A52B98" w:rsidP="00A52B98">
      <w:pPr>
        <w:numPr>
          <w:ilvl w:val="0"/>
          <w:numId w:val="1"/>
        </w:numPr>
        <w:shd w:val="clear" w:color="auto" w:fill="FFFFFF"/>
        <w:spacing w:after="0" w:line="240" w:lineRule="auto"/>
        <w:ind w:left="1020"/>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Contact will be maintained with representative groups such as the Victorian Farmers Federation, lobbying or special interest groups that may have an interest, and government bodies with a particular interest in the land on which the licence is situated.</w:t>
      </w:r>
    </w:p>
    <w:p w14:paraId="50662AFF" w14:textId="77777777" w:rsidR="00A52B98" w:rsidRPr="00A52B98" w:rsidRDefault="00A52B98" w:rsidP="00A52B98">
      <w:pPr>
        <w:numPr>
          <w:ilvl w:val="0"/>
          <w:numId w:val="1"/>
        </w:numPr>
        <w:shd w:val="clear" w:color="auto" w:fill="FFFFFF"/>
        <w:spacing w:after="0" w:line="240" w:lineRule="auto"/>
        <w:ind w:left="1020"/>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 xml:space="preserve">The senior management of the licensee will make themselves easily available for discussion or information meetings with </w:t>
      </w:r>
      <w:proofErr w:type="gramStart"/>
      <w:r w:rsidRPr="00A52B98">
        <w:rPr>
          <w:rFonts w:ascii="Arial" w:eastAsia="Times New Roman" w:hAnsi="Arial" w:cs="Arial"/>
          <w:color w:val="000000"/>
          <w:sz w:val="18"/>
          <w:szCs w:val="18"/>
          <w:lang w:eastAsia="en-AU"/>
        </w:rPr>
        <w:t>local residents</w:t>
      </w:r>
      <w:proofErr w:type="gramEnd"/>
      <w:r w:rsidRPr="00A52B98">
        <w:rPr>
          <w:rFonts w:ascii="Arial" w:eastAsia="Times New Roman" w:hAnsi="Arial" w:cs="Arial"/>
          <w:color w:val="000000"/>
          <w:sz w:val="18"/>
          <w:szCs w:val="18"/>
          <w:lang w:eastAsia="en-AU"/>
        </w:rPr>
        <w:t>, either individually or collectively. </w:t>
      </w:r>
    </w:p>
    <w:p w14:paraId="7A8C685A"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It will be necessary to identify the expectations or attitudes of these groups and individuals. Often a direct face to face approach is the best way to engage many members of the community.</w:t>
      </w:r>
    </w:p>
    <w:p w14:paraId="778C3E3A"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The licensee will need to assess the impact of their operation on these individuals and groups. Following the consultation, the full impact would be assessed by guidelines provided by the Department.</w:t>
      </w:r>
    </w:p>
    <w:p w14:paraId="5A3C28E3"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An assessment will be made following the consultation as to what level of community input and involvement can be achieved. There are likely to be a range of matters which may need to be considered. Ideally, many of the ideas and suggestions will be mutually beneficial to both the licensee and the local community. Matters such as operating hours or attitudes to working on days of high fire danger or working on hot and windy days may be matters which the local community could have views which need to be considered by the licensees.</w:t>
      </w:r>
    </w:p>
    <w:p w14:paraId="50F96302"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Any contact or complaint will be noted in a complaints book, and the licensee will promptly make suitable arrangements to contact the complainant. Where possible, the matter would be settled between the two parties, but the local Inspector or the Mining Warden may be requested to assist in resolving any issue or mediating on the matter.</w:t>
      </w:r>
    </w:p>
    <w:p w14:paraId="0A5815B4"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Such interaction with the community will be used to identify any issues that may be arising from the operations on the licence and will attempt to accommodate the views of the stakeholders in dealing with any such issues.</w:t>
      </w:r>
    </w:p>
    <w:p w14:paraId="704542ED"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 xml:space="preserve">The community is welcomed for their interest and input into minimising and mitigating any adverse impacts on the </w:t>
      </w:r>
      <w:proofErr w:type="gramStart"/>
      <w:r w:rsidRPr="00A52B98">
        <w:rPr>
          <w:rFonts w:ascii="Arial" w:eastAsia="Times New Roman" w:hAnsi="Arial" w:cs="Arial"/>
          <w:color w:val="000000"/>
          <w:sz w:val="18"/>
          <w:szCs w:val="18"/>
          <w:lang w:eastAsia="en-AU"/>
        </w:rPr>
        <w:t>area, and</w:t>
      </w:r>
      <w:proofErr w:type="gramEnd"/>
      <w:r w:rsidRPr="00A52B98">
        <w:rPr>
          <w:rFonts w:ascii="Arial" w:eastAsia="Times New Roman" w:hAnsi="Arial" w:cs="Arial"/>
          <w:color w:val="000000"/>
          <w:sz w:val="18"/>
          <w:szCs w:val="18"/>
          <w:lang w:eastAsia="en-AU"/>
        </w:rPr>
        <w:t xml:space="preserve"> meeting the expectations of the community for the peaceful enjoyment of their local environment.</w:t>
      </w:r>
    </w:p>
    <w:p w14:paraId="2C256234" w14:textId="77777777" w:rsidR="00A52B98" w:rsidRPr="00A52B98" w:rsidRDefault="00A52B98" w:rsidP="00A52B98">
      <w:pPr>
        <w:shd w:val="clear" w:color="auto" w:fill="FFFFFF"/>
        <w:spacing w:after="300" w:line="240" w:lineRule="auto"/>
        <w:textAlignment w:val="baseline"/>
        <w:rPr>
          <w:rFonts w:ascii="Arial" w:eastAsia="Times New Roman" w:hAnsi="Arial" w:cs="Arial"/>
          <w:color w:val="000000"/>
          <w:sz w:val="18"/>
          <w:szCs w:val="18"/>
          <w:lang w:eastAsia="en-AU"/>
        </w:rPr>
      </w:pPr>
      <w:r w:rsidRPr="00A52B98">
        <w:rPr>
          <w:rFonts w:ascii="Arial" w:eastAsia="Times New Roman" w:hAnsi="Arial" w:cs="Arial"/>
          <w:color w:val="000000"/>
          <w:sz w:val="18"/>
          <w:szCs w:val="18"/>
          <w:lang w:eastAsia="en-AU"/>
        </w:rPr>
        <w:t>The licensee is mindful of the need to maintain these exceptionally good community relations and to ensure that the channels of communication between the licence holder and the community in which it operates are kept open. All discussion with the community is based on mutual trust and respect</w:t>
      </w:r>
    </w:p>
    <w:p w14:paraId="2E173BD2" w14:textId="77777777" w:rsidR="0002169D" w:rsidRDefault="003219BA"/>
    <w:sectPr w:rsidR="000216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B64B5"/>
    <w:multiLevelType w:val="multilevel"/>
    <w:tmpl w:val="6796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98"/>
    <w:rsid w:val="00144AF1"/>
    <w:rsid w:val="003219BA"/>
    <w:rsid w:val="00753F4B"/>
    <w:rsid w:val="00A52B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24003"/>
  <w15:chartTrackingRefBased/>
  <w15:docId w15:val="{59B29F66-3D87-4385-BFD3-97FB9FB6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52B9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A52B98"/>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2B98"/>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A52B98"/>
    <w:rPr>
      <w:rFonts w:ascii="Times New Roman" w:eastAsia="Times New Roman" w:hAnsi="Times New Roman" w:cs="Times New Roman"/>
      <w:b/>
      <w:bCs/>
      <w:sz w:val="24"/>
      <w:szCs w:val="24"/>
      <w:lang w:eastAsia="en-AU"/>
    </w:rPr>
  </w:style>
  <w:style w:type="character" w:styleId="Strong">
    <w:name w:val="Strong"/>
    <w:basedOn w:val="DefaultParagraphFont"/>
    <w:uiPriority w:val="22"/>
    <w:qFormat/>
    <w:rsid w:val="00A52B98"/>
    <w:rPr>
      <w:b/>
      <w:bCs/>
    </w:rPr>
  </w:style>
  <w:style w:type="paragraph" w:styleId="NormalWeb">
    <w:name w:val="Normal (Web)"/>
    <w:basedOn w:val="Normal"/>
    <w:uiPriority w:val="99"/>
    <w:semiHidden/>
    <w:unhideWhenUsed/>
    <w:rsid w:val="00A52B9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96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Kiara Reddingius</dc:creator>
  <cp:keywords/>
  <dc:description/>
  <cp:lastModifiedBy>Kiara Reddingius</cp:lastModifiedBy>
  <cp:revision>1</cp:revision>
  <dcterms:created xsi:type="dcterms:W3CDTF">2021-11-12T06:10:00Z</dcterms:created>
  <dcterms:modified xsi:type="dcterms:W3CDTF">2021-11-12T06:17:00Z</dcterms:modified>
</cp:coreProperties>
</file>